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48" w:rsidRDefault="00E02848">
      <w:pPr>
        <w:rPr>
          <w:u w:val="single"/>
        </w:rPr>
      </w:pPr>
      <w:r w:rsidRPr="0005781B">
        <w:rPr>
          <w:u w:val="single"/>
        </w:rPr>
        <w:t>Note sul nuovo codice per gli appalti</w:t>
      </w:r>
      <w:r>
        <w:rPr>
          <w:u w:val="single"/>
        </w:rPr>
        <w:t xml:space="preserve"> redatte da Transparency International e da Avviso Pubblico</w:t>
      </w:r>
    </w:p>
    <w:p w:rsidR="00E02848" w:rsidRDefault="00E02848">
      <w:pPr>
        <w:rPr>
          <w:u w:val="single"/>
        </w:rPr>
      </w:pPr>
    </w:p>
    <w:p w:rsidR="00E02848" w:rsidRDefault="00E02848">
      <w:pPr>
        <w:rPr>
          <w:u w:val="single"/>
        </w:rPr>
      </w:pPr>
    </w:p>
    <w:p w:rsidR="00E02848" w:rsidRDefault="00E02848" w:rsidP="006978F4">
      <w:pPr>
        <w:jc w:val="right"/>
      </w:pPr>
      <w:r w:rsidRPr="006978F4">
        <w:t>Milano, 14 aprile 2016</w:t>
      </w:r>
    </w:p>
    <w:p w:rsidR="00E02848" w:rsidRPr="006978F4" w:rsidRDefault="00E02848" w:rsidP="006978F4">
      <w:pPr>
        <w:jc w:val="right"/>
      </w:pPr>
    </w:p>
    <w:p w:rsidR="00E02848" w:rsidRPr="0071118C" w:rsidRDefault="00E02848" w:rsidP="0044210B">
      <w:pPr>
        <w:pStyle w:val="ListParagraph"/>
        <w:numPr>
          <w:ilvl w:val="0"/>
          <w:numId w:val="1"/>
        </w:numPr>
        <w:rPr>
          <w:b/>
        </w:rPr>
      </w:pPr>
      <w:r w:rsidRPr="0071118C">
        <w:rPr>
          <w:b/>
        </w:rPr>
        <w:t>OPERE A SCOMPUTO</w:t>
      </w:r>
    </w:p>
    <w:p w:rsidR="00E02848" w:rsidRDefault="00E02848" w:rsidP="0044210B">
      <w:pPr>
        <w:pStyle w:val="ListParagraph"/>
        <w:rPr>
          <w:u w:val="single"/>
        </w:rPr>
      </w:pPr>
      <w:r>
        <w:t xml:space="preserve">In considerazione dell’impatto economico che normalmente hanno le opere a scomputo, che consistono in realizzazione di opere pubbliche sostanzialmente pagate con denaro  pubblico ,si chiede che al privato vengano applicate le normative previste dal </w:t>
      </w:r>
      <w:r w:rsidRPr="0044210B">
        <w:rPr>
          <w:b/>
        </w:rPr>
        <w:t xml:space="preserve"> Codice degli appalti, per le opere </w:t>
      </w:r>
      <w:r>
        <w:rPr>
          <w:b/>
        </w:rPr>
        <w:t xml:space="preserve">a scomputo secondarie </w:t>
      </w:r>
      <w:r w:rsidRPr="0044210B">
        <w:rPr>
          <w:b/>
        </w:rPr>
        <w:t>di importo superiore a 1 milione di euro</w:t>
      </w:r>
      <w:r>
        <w:t xml:space="preserve">, sia per quanto riguarda i criteri di affidamento che per la gestione delle autorizzazioni dei subappaltatori e per le comunicazioni del subfornitore, oltre che ovviamente per il possesso dei requisiti morali e  professionali , comprese le </w:t>
      </w:r>
      <w:r w:rsidRPr="00F71794">
        <w:rPr>
          <w:u w:val="single"/>
        </w:rPr>
        <w:t>certificazioni antimafia.</w:t>
      </w:r>
    </w:p>
    <w:p w:rsidR="00E02848" w:rsidRPr="00F71794" w:rsidRDefault="00E02848" w:rsidP="0044210B">
      <w:pPr>
        <w:pStyle w:val="ListParagraph"/>
        <w:rPr>
          <w:u w:val="single"/>
        </w:rPr>
      </w:pPr>
    </w:p>
    <w:p w:rsidR="00E02848" w:rsidRDefault="00E02848" w:rsidP="0044210B">
      <w:pPr>
        <w:pStyle w:val="ListParagraph"/>
      </w:pPr>
    </w:p>
    <w:p w:rsidR="00E02848" w:rsidRPr="0071118C" w:rsidRDefault="00E02848" w:rsidP="0044210B">
      <w:pPr>
        <w:pStyle w:val="ListParagraph"/>
        <w:numPr>
          <w:ilvl w:val="0"/>
          <w:numId w:val="1"/>
        </w:numPr>
        <w:rPr>
          <w:b/>
        </w:rPr>
      </w:pPr>
      <w:r w:rsidRPr="0071118C">
        <w:rPr>
          <w:b/>
        </w:rPr>
        <w:t>MANUTENZIONE</w:t>
      </w:r>
    </w:p>
    <w:p w:rsidR="00E02848" w:rsidRDefault="00E02848" w:rsidP="0044210B">
      <w:pPr>
        <w:pStyle w:val="ListParagraph"/>
      </w:pPr>
      <w:r>
        <w:t>Il Codice non disciplina in modo differenziato gli interventi  di manutenzione, interventi che oggi rappresentato quasi esclusivamente gli unici interventi che tutti gli Enti locali e territoriali sono chiamati a svolgere , spesso urgenti ,  spesso determinati  dall’utilizzo dei beni , la cui tempestivita’ e’ diretta al soddisfacimento immediato dei cittadini.</w:t>
      </w:r>
    </w:p>
    <w:p w:rsidR="00E02848" w:rsidRDefault="00E02848" w:rsidP="0044210B">
      <w:pPr>
        <w:pStyle w:val="ListParagraph"/>
      </w:pPr>
      <w:r>
        <w:t xml:space="preserve">Per tale tipologia di appalto è  anche difficilmente ipotizzabile  utilizzare, quale criterio di aggiudicazione , l’offerta economicamente vantaggiosa in quanto la standardizzazione degli interventi o la modalità  di produzione della lavorazione non e’ compatibile, salvo forzature, con tale criterio .Suggerisce di inserire la possibilità </w:t>
      </w:r>
      <w:r>
        <w:rPr>
          <w:b/>
        </w:rPr>
        <w:t xml:space="preserve">di utilizzare il criterio del massimo ribasso </w:t>
      </w:r>
      <w:r w:rsidRPr="0044210B">
        <w:rPr>
          <w:b/>
        </w:rPr>
        <w:t xml:space="preserve"> con 5 formule </w:t>
      </w:r>
      <w:r>
        <w:rPr>
          <w:b/>
        </w:rPr>
        <w:t xml:space="preserve">differenziate </w:t>
      </w:r>
      <w:r w:rsidRPr="0044210B">
        <w:rPr>
          <w:b/>
        </w:rPr>
        <w:t xml:space="preserve">per identificare anomalie per importi fino alla soglia comunitaria di </w:t>
      </w:r>
      <w:r>
        <w:rPr>
          <w:b/>
        </w:rPr>
        <w:t xml:space="preserve">5.225.000 </w:t>
      </w:r>
      <w:r w:rsidRPr="0044210B">
        <w:rPr>
          <w:b/>
        </w:rPr>
        <w:t>euro</w:t>
      </w:r>
      <w:r>
        <w:t>, mantenendo la possibilità dell’esclusione automatica delle offerte anormalmente basse.</w:t>
      </w:r>
      <w:bookmarkStart w:id="0" w:name="_GoBack"/>
      <w:bookmarkEnd w:id="0"/>
    </w:p>
    <w:p w:rsidR="00E02848" w:rsidRDefault="00E02848" w:rsidP="0044210B">
      <w:pPr>
        <w:pStyle w:val="ListParagraph"/>
      </w:pPr>
    </w:p>
    <w:p w:rsidR="00E02848" w:rsidRPr="0071118C" w:rsidRDefault="00E02848" w:rsidP="0044210B">
      <w:pPr>
        <w:pStyle w:val="ListParagraph"/>
        <w:rPr>
          <w:b/>
        </w:rPr>
      </w:pPr>
    </w:p>
    <w:p w:rsidR="00E02848" w:rsidRPr="0071118C" w:rsidRDefault="00E02848" w:rsidP="0044210B">
      <w:pPr>
        <w:pStyle w:val="ListParagraph"/>
        <w:numPr>
          <w:ilvl w:val="0"/>
          <w:numId w:val="1"/>
        </w:numPr>
        <w:rPr>
          <w:b/>
        </w:rPr>
      </w:pPr>
      <w:r w:rsidRPr="0071118C">
        <w:rPr>
          <w:b/>
        </w:rPr>
        <w:t>REQUISITI DI MORALITA’</w:t>
      </w:r>
    </w:p>
    <w:p w:rsidR="00E02848" w:rsidRDefault="00E02848" w:rsidP="0044210B">
      <w:pPr>
        <w:pStyle w:val="ListParagraph"/>
      </w:pPr>
      <w:r>
        <w:t xml:space="preserve">Nell’articolo 80 del Codice non è previsto il reato incidente di </w:t>
      </w:r>
      <w:r w:rsidRPr="0044210B">
        <w:rPr>
          <w:b/>
        </w:rPr>
        <w:t>turbativa d’asta</w:t>
      </w:r>
      <w:r>
        <w:t>.</w:t>
      </w:r>
    </w:p>
    <w:p w:rsidR="00E02848" w:rsidRDefault="00E02848" w:rsidP="0044210B">
      <w:pPr>
        <w:pStyle w:val="ListParagraph"/>
      </w:pPr>
      <w:r>
        <w:t xml:space="preserve">Nei casi di esclusione mancano il reato di </w:t>
      </w:r>
      <w:r w:rsidRPr="0044210B">
        <w:rPr>
          <w:b/>
        </w:rPr>
        <w:t xml:space="preserve">collegamento sostanziale </w:t>
      </w:r>
      <w:r>
        <w:t xml:space="preserve">e di </w:t>
      </w:r>
      <w:r w:rsidRPr="0044210B">
        <w:rPr>
          <w:b/>
        </w:rPr>
        <w:t>collegamento formale</w:t>
      </w:r>
      <w:r>
        <w:t>.</w:t>
      </w:r>
    </w:p>
    <w:p w:rsidR="00E02848" w:rsidRDefault="00E02848" w:rsidP="0044210B">
      <w:pPr>
        <w:pStyle w:val="ListParagraph"/>
      </w:pPr>
    </w:p>
    <w:p w:rsidR="00E02848" w:rsidRDefault="00E02848" w:rsidP="0044210B">
      <w:pPr>
        <w:pStyle w:val="ListParagraph"/>
      </w:pPr>
    </w:p>
    <w:p w:rsidR="00E02848" w:rsidRPr="0071118C" w:rsidRDefault="00E02848" w:rsidP="0044210B">
      <w:pPr>
        <w:pStyle w:val="ListParagraph"/>
        <w:numPr>
          <w:ilvl w:val="0"/>
          <w:numId w:val="1"/>
        </w:numPr>
        <w:rPr>
          <w:b/>
        </w:rPr>
      </w:pPr>
      <w:r w:rsidRPr="0071118C">
        <w:rPr>
          <w:b/>
        </w:rPr>
        <w:t>PATTI DI INTEGRITA’</w:t>
      </w:r>
    </w:p>
    <w:p w:rsidR="00E02848" w:rsidRDefault="00E02848" w:rsidP="0044210B">
      <w:pPr>
        <w:pStyle w:val="ListParagraph"/>
      </w:pPr>
      <w:r>
        <w:t xml:space="preserve">Il Codice non considera  i </w:t>
      </w:r>
      <w:r w:rsidRPr="00466FD4">
        <w:rPr>
          <w:b/>
        </w:rPr>
        <w:t>patti di integrità</w:t>
      </w:r>
      <w:r>
        <w:t xml:space="preserve">  elementi essenziali dell’offerta , rendendoli inutilizzabili, </w:t>
      </w:r>
    </w:p>
    <w:p w:rsidR="00E02848" w:rsidRDefault="00E02848" w:rsidP="0044210B">
      <w:pPr>
        <w:pStyle w:val="ListParagraph"/>
      </w:pPr>
      <w:r>
        <w:t>in contrasto con quanto previsto dal comma 17 della legge 190/2012.</w:t>
      </w:r>
    </w:p>
    <w:p w:rsidR="00E02848" w:rsidRDefault="00E02848" w:rsidP="0044210B">
      <w:pPr>
        <w:pStyle w:val="ListParagraph"/>
      </w:pPr>
    </w:p>
    <w:p w:rsidR="00E02848" w:rsidRDefault="00E02848" w:rsidP="0044210B">
      <w:pPr>
        <w:pStyle w:val="ListParagraph"/>
      </w:pPr>
    </w:p>
    <w:p w:rsidR="00E02848" w:rsidRPr="0071118C" w:rsidRDefault="00E02848" w:rsidP="00466FD4">
      <w:pPr>
        <w:pStyle w:val="ListParagraph"/>
        <w:numPr>
          <w:ilvl w:val="0"/>
          <w:numId w:val="1"/>
        </w:numPr>
        <w:rPr>
          <w:b/>
        </w:rPr>
      </w:pPr>
      <w:r w:rsidRPr="0071118C">
        <w:rPr>
          <w:b/>
        </w:rPr>
        <w:t>REQUISITI DI MORALITA’</w:t>
      </w:r>
    </w:p>
    <w:p w:rsidR="00E02848" w:rsidRDefault="00E02848" w:rsidP="00466FD4">
      <w:pPr>
        <w:pStyle w:val="ListParagraph"/>
      </w:pPr>
      <w:r>
        <w:t>I requisiti non valgono per la “</w:t>
      </w:r>
      <w:r w:rsidRPr="00466FD4">
        <w:rPr>
          <w:b/>
        </w:rPr>
        <w:t>stipula del contratto</w:t>
      </w:r>
      <w:r>
        <w:t>”. La verifica del possesso dei requisiti è  attualmente verifica necessaria ed obbligatoria anche in fase di stipulazione del contratto.</w:t>
      </w:r>
    </w:p>
    <w:p w:rsidR="00E02848" w:rsidRDefault="00E02848" w:rsidP="00466FD4">
      <w:pPr>
        <w:pStyle w:val="ListParagraph"/>
      </w:pPr>
      <w:r>
        <w:t xml:space="preserve"> L’emanando art 80 non prevede che i requisiti debbano persistere anche in fase di stipulazione ,ne’ tale permanenza e’ prevista dall’art 31 che disciplina la procedura necessaria per arrivare alla firma del relativo contratto.</w:t>
      </w:r>
    </w:p>
    <w:p w:rsidR="00E02848" w:rsidRDefault="00E02848" w:rsidP="00466FD4">
      <w:pPr>
        <w:pStyle w:val="ListParagraph"/>
      </w:pPr>
    </w:p>
    <w:p w:rsidR="00E02848" w:rsidRPr="0071118C" w:rsidRDefault="00E02848" w:rsidP="00466F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BE</w:t>
      </w:r>
      <w:r w:rsidRPr="0071118C">
        <w:rPr>
          <w:b/>
        </w:rPr>
        <w:t>NEFICIARIO EFFETTIVO</w:t>
      </w:r>
    </w:p>
    <w:p w:rsidR="00E02848" w:rsidRDefault="00E02848" w:rsidP="00466FD4">
      <w:pPr>
        <w:pStyle w:val="ListParagraph"/>
      </w:pPr>
      <w:r>
        <w:t xml:space="preserve">Non è prevista l’esclusione dalle gare d’appalto in caso di mancata trasparenza del </w:t>
      </w:r>
      <w:r w:rsidRPr="00466FD4">
        <w:rPr>
          <w:b/>
        </w:rPr>
        <w:t>beneficiario effettivo</w:t>
      </w:r>
      <w:r>
        <w:t xml:space="preserve"> in caso di intestazioni fiduciaria.</w:t>
      </w:r>
    </w:p>
    <w:p w:rsidR="00E02848" w:rsidRPr="0071118C" w:rsidRDefault="00E02848" w:rsidP="00466FD4">
      <w:pPr>
        <w:pStyle w:val="ListParagraph"/>
        <w:rPr>
          <w:b/>
        </w:rPr>
      </w:pPr>
    </w:p>
    <w:p w:rsidR="00E02848" w:rsidRPr="0071118C" w:rsidRDefault="00E02848" w:rsidP="00466FD4">
      <w:pPr>
        <w:pStyle w:val="ListParagraph"/>
        <w:numPr>
          <w:ilvl w:val="0"/>
          <w:numId w:val="1"/>
        </w:numPr>
        <w:rPr>
          <w:b/>
        </w:rPr>
      </w:pPr>
      <w:r w:rsidRPr="0071118C">
        <w:rPr>
          <w:b/>
        </w:rPr>
        <w:t>RATING DI LEGALITA’</w:t>
      </w:r>
    </w:p>
    <w:p w:rsidR="00E02848" w:rsidRDefault="00E02848" w:rsidP="00466FD4">
      <w:pPr>
        <w:pStyle w:val="ListParagraph"/>
      </w:pPr>
      <w:r>
        <w:t xml:space="preserve">Nell’articolo 84 si ravvisa </w:t>
      </w:r>
      <w:r w:rsidRPr="00466FD4">
        <w:rPr>
          <w:b/>
        </w:rPr>
        <w:t>confusione tra il rating di legalità e il rating di impresa</w:t>
      </w:r>
      <w:r>
        <w:t xml:space="preserve"> che dovranno essere identificati da A.N.AC, nonché  una sovrapposizione tra requisiti di qualificazione e quelli di valutazione.</w:t>
      </w:r>
    </w:p>
    <w:p w:rsidR="00E02848" w:rsidRDefault="00E02848" w:rsidP="00466FD4">
      <w:pPr>
        <w:pStyle w:val="ListParagraph"/>
      </w:pPr>
    </w:p>
    <w:p w:rsidR="00E02848" w:rsidRPr="0071118C" w:rsidRDefault="00E02848" w:rsidP="00466FD4">
      <w:pPr>
        <w:pStyle w:val="ListParagraph"/>
        <w:numPr>
          <w:ilvl w:val="0"/>
          <w:numId w:val="1"/>
        </w:numPr>
        <w:rPr>
          <w:b/>
        </w:rPr>
      </w:pPr>
      <w:r w:rsidRPr="0071118C">
        <w:rPr>
          <w:b/>
        </w:rPr>
        <w:t>SUBAPPALTI</w:t>
      </w:r>
    </w:p>
    <w:p w:rsidR="00E02848" w:rsidRDefault="00E02848" w:rsidP="00466FD4">
      <w:pPr>
        <w:pStyle w:val="ListParagraph"/>
      </w:pPr>
      <w:r>
        <w:t xml:space="preserve">Allo stato attuale i subappalti vengono totalmente liberalizzati, mentre i </w:t>
      </w:r>
      <w:r w:rsidRPr="00466FD4">
        <w:rPr>
          <w:b/>
        </w:rPr>
        <w:t>limiti che regolano i subappalti andrebbero mantenuti e anche le ditte subappaltatrici dovrebbero avere il Rating di impresa</w:t>
      </w:r>
      <w:r>
        <w:t>.</w:t>
      </w:r>
    </w:p>
    <w:p w:rsidR="00E02848" w:rsidRDefault="00E02848" w:rsidP="00466FD4">
      <w:pPr>
        <w:pStyle w:val="ListParagraph"/>
      </w:pPr>
    </w:p>
    <w:p w:rsidR="00E02848" w:rsidRDefault="00E02848" w:rsidP="00466FD4">
      <w:pPr>
        <w:pStyle w:val="ListParagraph"/>
      </w:pPr>
    </w:p>
    <w:p w:rsidR="00E02848" w:rsidRDefault="00E02848" w:rsidP="0005781B">
      <w:pPr>
        <w:pStyle w:val="ListParagraph"/>
        <w:numPr>
          <w:ilvl w:val="0"/>
          <w:numId w:val="1"/>
        </w:numPr>
      </w:pPr>
      <w:r w:rsidRPr="00FA62D7">
        <w:rPr>
          <w:b/>
        </w:rPr>
        <w:t>SEGNALAZIONI AD ANAC</w:t>
      </w:r>
      <w:r>
        <w:t xml:space="preserve"> Alle stazioni appaltanti è richiesto di segnalare ad A.N.AC. solo le false dichiarazioni, mentre </w:t>
      </w:r>
      <w:r w:rsidRPr="00FA62D7">
        <w:rPr>
          <w:b/>
        </w:rPr>
        <w:t>tutte le cause di esclusione dovrebbero essere segnalate  all’Autorità</w:t>
      </w:r>
      <w:r>
        <w:t xml:space="preserve">  per l’eventuale annotazione.</w:t>
      </w:r>
    </w:p>
    <w:p w:rsidR="00E02848" w:rsidRDefault="00E02848" w:rsidP="0005781B">
      <w:pPr>
        <w:pStyle w:val="ListParagraph"/>
      </w:pPr>
    </w:p>
    <w:p w:rsidR="00E02848" w:rsidRDefault="00E02848" w:rsidP="00D01A76">
      <w:pPr>
        <w:pStyle w:val="ListParagraph"/>
        <w:jc w:val="both"/>
      </w:pPr>
    </w:p>
    <w:p w:rsidR="00E02848" w:rsidRPr="00824129" w:rsidRDefault="00E02848" w:rsidP="00D01A76">
      <w:pPr>
        <w:pStyle w:val="ListParagraph"/>
        <w:numPr>
          <w:ilvl w:val="0"/>
          <w:numId w:val="1"/>
        </w:numPr>
        <w:jc w:val="both"/>
        <w:rPr>
          <w:b/>
        </w:rPr>
      </w:pPr>
      <w:r w:rsidRPr="00824129">
        <w:rPr>
          <w:b/>
        </w:rPr>
        <w:t>BENI E SERVIZI</w:t>
      </w:r>
    </w:p>
    <w:p w:rsidR="00E02848" w:rsidRDefault="00E02848" w:rsidP="00D01A76">
      <w:pPr>
        <w:pStyle w:val="ListParagraph"/>
        <w:jc w:val="both"/>
      </w:pPr>
      <w:r>
        <w:t xml:space="preserve">La soglia di 40.000 per la programmazione degli acquisti di beni e servizi è </w:t>
      </w:r>
      <w:r w:rsidRPr="0005781B">
        <w:rPr>
          <w:b/>
        </w:rPr>
        <w:t>ritenuta troppo bassa</w:t>
      </w:r>
      <w:r>
        <w:t xml:space="preserve"> e rischia di creare una paralisi negli Enti di dimensione  medio/grandi </w:t>
      </w:r>
    </w:p>
    <w:p w:rsidR="00E02848" w:rsidRDefault="00E02848" w:rsidP="00D01A76">
      <w:pPr>
        <w:pStyle w:val="ListParagraph"/>
        <w:jc w:val="both"/>
      </w:pPr>
    </w:p>
    <w:p w:rsidR="00E02848" w:rsidRDefault="00E02848" w:rsidP="00D01A76">
      <w:pPr>
        <w:pStyle w:val="ListParagraph"/>
        <w:jc w:val="both"/>
      </w:pPr>
    </w:p>
    <w:p w:rsidR="00E02848" w:rsidRPr="00824129" w:rsidRDefault="00E02848" w:rsidP="00D01A76">
      <w:pPr>
        <w:pStyle w:val="ListParagraph"/>
        <w:numPr>
          <w:ilvl w:val="0"/>
          <w:numId w:val="1"/>
        </w:numPr>
        <w:jc w:val="both"/>
        <w:rPr>
          <w:b/>
          <w:color w:val="000000"/>
        </w:rPr>
      </w:pPr>
      <w:r w:rsidRPr="009760E8">
        <w:rPr>
          <w:color w:val="000000"/>
        </w:rPr>
        <w:t xml:space="preserve"> </w:t>
      </w:r>
      <w:r w:rsidRPr="00824129">
        <w:rPr>
          <w:b/>
          <w:color w:val="000000"/>
        </w:rPr>
        <w:t>PRINCIPI IN MATERIA DI TRASPARENZA (Art. 29, comma 1)</w:t>
      </w:r>
    </w:p>
    <w:p w:rsidR="00E02848" w:rsidRPr="00824129" w:rsidRDefault="00E02848" w:rsidP="00D01A76">
      <w:pPr>
        <w:pStyle w:val="ListParagraph"/>
        <w:jc w:val="both"/>
        <w:rPr>
          <w:b/>
          <w:color w:val="000000"/>
        </w:rPr>
      </w:pPr>
    </w:p>
    <w:p w:rsidR="00E02848" w:rsidRDefault="00E02848" w:rsidP="00D01A76">
      <w:pPr>
        <w:pStyle w:val="ListParagraph"/>
        <w:jc w:val="both"/>
        <w:rPr>
          <w:color w:val="000000"/>
        </w:rPr>
      </w:pPr>
      <w:r w:rsidRPr="009760E8">
        <w:rPr>
          <w:color w:val="000000"/>
        </w:rPr>
        <w:t>Prevedere la pubblicazione, oltre ai i resoconti della gestione finanziaria dei contratti al termine della loro esecuzione anche dei nominativi di subappaltatori e subfornitori.</w:t>
      </w:r>
    </w:p>
    <w:p w:rsidR="00E02848" w:rsidRDefault="00E02848" w:rsidP="00D01A76">
      <w:pPr>
        <w:pStyle w:val="ListParagraph"/>
        <w:jc w:val="both"/>
        <w:rPr>
          <w:color w:val="000000"/>
        </w:rPr>
      </w:pPr>
    </w:p>
    <w:p w:rsidR="00E02848" w:rsidRDefault="00E02848" w:rsidP="00D01A76">
      <w:pPr>
        <w:pStyle w:val="ListParagraph"/>
        <w:jc w:val="both"/>
        <w:rPr>
          <w:color w:val="000000"/>
        </w:rPr>
      </w:pPr>
    </w:p>
    <w:p w:rsidR="00E02848" w:rsidRDefault="00E02848" w:rsidP="00D01A76">
      <w:pPr>
        <w:pStyle w:val="ListParagraph"/>
        <w:jc w:val="both"/>
        <w:rPr>
          <w:color w:val="000000"/>
        </w:rPr>
      </w:pPr>
      <w:r w:rsidRPr="00D01A76">
        <w:rPr>
          <w:b/>
          <w:color w:val="000000"/>
        </w:rPr>
        <w:t xml:space="preserve">12) </w:t>
      </w:r>
      <w:r w:rsidRPr="00FA62D7">
        <w:rPr>
          <w:b/>
          <w:color w:val="000000"/>
        </w:rPr>
        <w:t xml:space="preserve">ANTIMAFIA   </w:t>
      </w:r>
      <w:r w:rsidRPr="00FA62D7">
        <w:rPr>
          <w:color w:val="000000"/>
        </w:rPr>
        <w:t>E’ necessario un coordinamento tra codice dei contratti e codice delle leggi antimafia .Q</w:t>
      </w:r>
      <w:r>
        <w:rPr>
          <w:color w:val="000000"/>
        </w:rPr>
        <w:t xml:space="preserve">uesto </w:t>
      </w:r>
      <w:r w:rsidRPr="00FA62D7">
        <w:rPr>
          <w:color w:val="000000"/>
        </w:rPr>
        <w:t xml:space="preserve">ultimo prevede la comunicazione all’Osservatorio dei contratti pubblici per l’inserimento nel casellario informatico delle </w:t>
      </w:r>
      <w:r w:rsidRPr="00FA62D7">
        <w:rPr>
          <w:color w:val="000000"/>
          <w:u w:val="single"/>
        </w:rPr>
        <w:t xml:space="preserve">sole informative antimafia , lasciando non soggetto a segnalazione per l’annotazione nel casellario informatico le comunicazioni  antimafia. </w:t>
      </w:r>
      <w:r w:rsidRPr="00FA62D7">
        <w:rPr>
          <w:color w:val="000000"/>
        </w:rPr>
        <w:t xml:space="preserve">Si </w:t>
      </w:r>
      <w:r>
        <w:rPr>
          <w:color w:val="000000"/>
        </w:rPr>
        <w:t xml:space="preserve">propone </w:t>
      </w:r>
      <w:r w:rsidRPr="00FA62D7">
        <w:rPr>
          <w:color w:val="000000"/>
        </w:rPr>
        <w:t xml:space="preserve">quindi </w:t>
      </w:r>
      <w:r>
        <w:rPr>
          <w:color w:val="000000"/>
        </w:rPr>
        <w:t xml:space="preserve">di </w:t>
      </w:r>
      <w:r w:rsidRPr="00FA62D7">
        <w:rPr>
          <w:color w:val="000000"/>
        </w:rPr>
        <w:t>colmare questa grave lacuna che incide</w:t>
      </w:r>
      <w:r>
        <w:rPr>
          <w:color w:val="000000"/>
        </w:rPr>
        <w:t xml:space="preserve"> su</w:t>
      </w:r>
      <w:r w:rsidRPr="00FA62D7">
        <w:rPr>
          <w:color w:val="000000"/>
        </w:rPr>
        <w:t>gli appalti di opere fino</w:t>
      </w:r>
      <w:r>
        <w:rPr>
          <w:color w:val="000000"/>
        </w:rPr>
        <w:t xml:space="preserve"> a </w:t>
      </w:r>
      <w:r w:rsidRPr="00FA62D7">
        <w:rPr>
          <w:color w:val="000000"/>
        </w:rPr>
        <w:t xml:space="preserve">EURO 5.225.000 </w:t>
      </w:r>
      <w:r>
        <w:rPr>
          <w:color w:val="000000"/>
        </w:rPr>
        <w:t>e di inserire l’obbligo di annotazione nell’art 80 .</w:t>
      </w:r>
    </w:p>
    <w:p w:rsidR="00E02848" w:rsidRDefault="00E02848" w:rsidP="00D01A76">
      <w:pPr>
        <w:pStyle w:val="ListParagraph"/>
        <w:jc w:val="both"/>
        <w:rPr>
          <w:color w:val="000000"/>
        </w:rPr>
      </w:pPr>
    </w:p>
    <w:p w:rsidR="00E02848" w:rsidRDefault="00E02848" w:rsidP="00D01A76">
      <w:pPr>
        <w:pStyle w:val="ListParagraph"/>
        <w:jc w:val="both"/>
        <w:rPr>
          <w:color w:val="000000"/>
        </w:rPr>
      </w:pPr>
    </w:p>
    <w:p w:rsidR="00E02848" w:rsidRPr="009760E8" w:rsidRDefault="00E02848" w:rsidP="004C5F96">
      <w:pPr>
        <w:pStyle w:val="ListParagraph"/>
        <w:ind w:left="737" w:hanging="340"/>
        <w:jc w:val="both"/>
        <w:rPr>
          <w:color w:val="000000"/>
        </w:rPr>
      </w:pPr>
      <w:r>
        <w:rPr>
          <w:b/>
          <w:color w:val="000000"/>
        </w:rPr>
        <w:t>13)</w:t>
      </w:r>
      <w:r w:rsidRPr="004C5F96">
        <w:rPr>
          <w:b/>
          <w:color w:val="000000"/>
        </w:rPr>
        <w:t xml:space="preserve"> </w:t>
      </w:r>
      <w:r w:rsidRPr="00824129">
        <w:rPr>
          <w:b/>
          <w:color w:val="000000"/>
        </w:rPr>
        <w:t>PAGAMENTO DEI SUBAPPALTATORI</w:t>
      </w:r>
    </w:p>
    <w:p w:rsidR="00E02848" w:rsidRPr="009760E8" w:rsidRDefault="00E02848" w:rsidP="004C5F96">
      <w:pPr>
        <w:pStyle w:val="ListParagraph"/>
        <w:ind w:left="737"/>
        <w:jc w:val="both"/>
        <w:rPr>
          <w:color w:val="000000"/>
        </w:rPr>
      </w:pPr>
      <w:r w:rsidRPr="009760E8">
        <w:rPr>
          <w:color w:val="000000"/>
        </w:rPr>
        <w:t>Estendere la possibilità che le stazioni appaltanti paghino direttamente subappaltori anche su richiesta del subappaltatore (come previsto nella legge delega al punto rrr)).</w:t>
      </w:r>
    </w:p>
    <w:p w:rsidR="00E02848" w:rsidRPr="009760E8" w:rsidRDefault="00E02848" w:rsidP="004C5F96">
      <w:pPr>
        <w:pStyle w:val="ListParagraph"/>
        <w:jc w:val="both"/>
        <w:rPr>
          <w:color w:val="000000"/>
        </w:rPr>
      </w:pPr>
      <w:r w:rsidRPr="009760E8">
        <w:rPr>
          <w:color w:val="000000"/>
        </w:rPr>
        <w:t>In termini generali la formulazione dell’attuale codice degli appalti è molto più forte ed andrebbe riproposta (l’articolo 118, comma 3, del Dlgs 163/2006 recita: “</w:t>
      </w:r>
      <w:r w:rsidRPr="009760E8">
        <w:rPr>
          <w:rFonts w:ascii="Tahoma" w:hAnsi="Tahoma"/>
          <w:color w:val="000000"/>
          <w:sz w:val="20"/>
        </w:rPr>
        <w:t>Nel bando di gara la stazione appaltante indica che provvederà a corrispondere direttamente al subappaltatore o al cottimista l'importo dovuto per le prestazioni dagli stessi eseguite o, in alternativa, che è fatto obbligo agli affidatari di trasmettere, entro venti giorni dalla data di ciascun pagamento effettuato nei loro confronti, copia delle fatture quietanzate</w:t>
      </w:r>
      <w:r w:rsidRPr="009760E8">
        <w:rPr>
          <w:color w:val="000000"/>
        </w:rPr>
        <w:t xml:space="preserve"> ...)</w:t>
      </w:r>
    </w:p>
    <w:p w:rsidR="00E02848" w:rsidRPr="009760E8" w:rsidRDefault="00E02848" w:rsidP="00D01A76">
      <w:pPr>
        <w:jc w:val="both"/>
        <w:rPr>
          <w:color w:val="000000"/>
        </w:rPr>
      </w:pPr>
    </w:p>
    <w:sectPr w:rsidR="00E02848" w:rsidRPr="009760E8" w:rsidSect="00924D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64F07"/>
    <w:multiLevelType w:val="hybridMultilevel"/>
    <w:tmpl w:val="34C0FA08"/>
    <w:lvl w:ilvl="0" w:tplc="996A189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17399"/>
    <w:multiLevelType w:val="hybridMultilevel"/>
    <w:tmpl w:val="A71C4974"/>
    <w:lvl w:ilvl="0" w:tplc="0410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55461B"/>
    <w:multiLevelType w:val="hybridMultilevel"/>
    <w:tmpl w:val="8924AAE4"/>
    <w:lvl w:ilvl="0" w:tplc="D022553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902"/>
    <w:rsid w:val="0005781B"/>
    <w:rsid w:val="001112E0"/>
    <w:rsid w:val="0025485F"/>
    <w:rsid w:val="003A2742"/>
    <w:rsid w:val="003E6857"/>
    <w:rsid w:val="0044210B"/>
    <w:rsid w:val="00466FD4"/>
    <w:rsid w:val="004C5F96"/>
    <w:rsid w:val="00515AE8"/>
    <w:rsid w:val="0053013D"/>
    <w:rsid w:val="005C5E73"/>
    <w:rsid w:val="006978F4"/>
    <w:rsid w:val="0071118C"/>
    <w:rsid w:val="00824129"/>
    <w:rsid w:val="008F795B"/>
    <w:rsid w:val="00924D1B"/>
    <w:rsid w:val="009760E8"/>
    <w:rsid w:val="00B816B4"/>
    <w:rsid w:val="00BD41A4"/>
    <w:rsid w:val="00C720D9"/>
    <w:rsid w:val="00D01A76"/>
    <w:rsid w:val="00D13F4B"/>
    <w:rsid w:val="00D84902"/>
    <w:rsid w:val="00E02848"/>
    <w:rsid w:val="00E70B35"/>
    <w:rsid w:val="00F71794"/>
    <w:rsid w:val="00FA255A"/>
    <w:rsid w:val="00FA4CE2"/>
    <w:rsid w:val="00FA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1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421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8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</TotalTime>
  <Pages>2</Pages>
  <Words>763</Words>
  <Characters>4351</Characters>
  <Application>Microsoft Office Outlook</Application>
  <DocSecurity>0</DocSecurity>
  <Lines>0</Lines>
  <Paragraphs>0</Paragraphs>
  <ScaleCrop>false</ScaleCrop>
  <Company>Comune di Milano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sul nuovo codice per gli appalti</dc:title>
  <dc:subject/>
  <dc:creator>davide del monte</dc:creator>
  <cp:keywords/>
  <dc:description/>
  <cp:lastModifiedBy>David</cp:lastModifiedBy>
  <cp:revision>3</cp:revision>
  <dcterms:created xsi:type="dcterms:W3CDTF">2016-04-14T08:03:00Z</dcterms:created>
  <dcterms:modified xsi:type="dcterms:W3CDTF">2016-04-14T08:05:00Z</dcterms:modified>
</cp:coreProperties>
</file>